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Gorla Minore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Vare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